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4FF" w:rsidRDefault="000064FF"/>
    <w:p w:rsidR="004F20FC" w:rsidRPr="00E00F9A" w:rsidRDefault="004F20FC" w:rsidP="004F20F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CONSIDERACIONES METODOLÓGICAS</w:t>
      </w:r>
    </w:p>
    <w:p w:rsidR="004F20FC" w:rsidRDefault="004F20FC" w:rsidP="004F20FC">
      <w:pPr>
        <w:ind w:firstLine="709"/>
        <w:rPr>
          <w:rFonts w:ascii="Times New Roman" w:eastAsia="Times New Roman" w:hAnsi="Times New Roman" w:cs="Times New Roman"/>
          <w:sz w:val="24"/>
          <w:szCs w:val="24"/>
        </w:rPr>
      </w:pPr>
      <w:r w:rsidRPr="00E9358F">
        <w:rPr>
          <w:rFonts w:ascii="Times New Roman" w:eastAsia="Times New Roman" w:hAnsi="Times New Roman" w:cs="Times New Roman"/>
          <w:sz w:val="24"/>
          <w:szCs w:val="24"/>
        </w:rPr>
        <w:t xml:space="preserve">En relación </w:t>
      </w:r>
      <w:r>
        <w:rPr>
          <w:rFonts w:ascii="Times New Roman" w:eastAsia="Times New Roman" w:hAnsi="Times New Roman" w:cs="Times New Roman"/>
          <w:sz w:val="24"/>
          <w:szCs w:val="24"/>
        </w:rPr>
        <w:t>a los aspectos metodológicos de la investigación es necesario aclarar dos cosas. Por un lado, los actores y por el otro, las herramientas.</w:t>
      </w:r>
    </w:p>
    <w:p w:rsidR="004F20FC" w:rsidRPr="004F20FC" w:rsidRDefault="004F20FC" w:rsidP="004F20FC">
      <w:pPr>
        <w:ind w:firstLine="720"/>
        <w:jc w:val="both"/>
        <w:rPr>
          <w:rFonts w:ascii="Times New Roman" w:eastAsia="Times New Roman" w:hAnsi="Times New Roman" w:cs="Times New Roman"/>
          <w:sz w:val="24"/>
          <w:szCs w:val="24"/>
        </w:rPr>
      </w:pPr>
      <w:r w:rsidRPr="004F20FC">
        <w:rPr>
          <w:rFonts w:ascii="Times New Roman" w:eastAsia="Times New Roman" w:hAnsi="Times New Roman" w:cs="Times New Roman"/>
          <w:sz w:val="24"/>
          <w:szCs w:val="24"/>
        </w:rPr>
        <w:t xml:space="preserve">Las herramientas utilizadas en la investigación no fueron aplicadas a todos los actores anteriormente descritos, por factores, muchas veces, de tiempo y espacio. Con Marianela y Silvio se usaron herramientas tales como: </w:t>
      </w:r>
      <w:hyperlink r:id="rId7" w:history="1">
        <w:r w:rsidRPr="004F20FC">
          <w:rPr>
            <w:rFonts w:ascii="Times New Roman" w:eastAsia="Times New Roman" w:hAnsi="Times New Roman" w:cs="Times New Roman"/>
            <w:color w:val="0000FF" w:themeColor="hyperlink"/>
            <w:sz w:val="24"/>
            <w:szCs w:val="24"/>
            <w:u w:val="single"/>
          </w:rPr>
          <w:t>entrevistas</w:t>
        </w:r>
      </w:hyperlink>
      <w:r w:rsidRPr="004F20FC">
        <w:rPr>
          <w:rFonts w:ascii="Times New Roman" w:eastAsia="Times New Roman" w:hAnsi="Times New Roman" w:cs="Times New Roman"/>
          <w:sz w:val="24"/>
          <w:szCs w:val="24"/>
        </w:rPr>
        <w:t xml:space="preserve">, </w:t>
      </w:r>
      <w:hyperlink r:id="rId8" w:history="1">
        <w:r w:rsidRPr="004F20FC">
          <w:rPr>
            <w:rFonts w:ascii="Times New Roman" w:eastAsia="Times New Roman" w:hAnsi="Times New Roman" w:cs="Times New Roman"/>
            <w:color w:val="0000FF" w:themeColor="hyperlink"/>
            <w:sz w:val="24"/>
            <w:szCs w:val="24"/>
            <w:u w:val="single"/>
          </w:rPr>
          <w:t>fotografías</w:t>
        </w:r>
      </w:hyperlink>
      <w:r w:rsidRPr="004F20FC">
        <w:rPr>
          <w:rFonts w:ascii="Times New Roman" w:eastAsia="Times New Roman" w:hAnsi="Times New Roman" w:cs="Times New Roman"/>
          <w:sz w:val="24"/>
          <w:szCs w:val="24"/>
        </w:rPr>
        <w:t xml:space="preserve">, </w:t>
      </w:r>
      <w:hyperlink r:id="rId9" w:history="1">
        <w:r w:rsidRPr="004F20FC">
          <w:rPr>
            <w:rFonts w:ascii="Times New Roman" w:eastAsia="Times New Roman" w:hAnsi="Times New Roman" w:cs="Times New Roman"/>
            <w:color w:val="0000FF" w:themeColor="hyperlink"/>
            <w:sz w:val="24"/>
            <w:szCs w:val="24"/>
            <w:u w:val="single"/>
          </w:rPr>
          <w:t>sondas generativas</w:t>
        </w:r>
      </w:hyperlink>
      <w:r w:rsidRPr="004F20FC">
        <w:rPr>
          <w:rFonts w:ascii="Times New Roman" w:eastAsia="Times New Roman" w:hAnsi="Times New Roman" w:cs="Times New Roman"/>
          <w:sz w:val="24"/>
          <w:szCs w:val="24"/>
        </w:rPr>
        <w:t xml:space="preserve">, </w:t>
      </w:r>
      <w:hyperlink r:id="rId10" w:history="1">
        <w:r w:rsidRPr="004F20FC">
          <w:rPr>
            <w:rFonts w:ascii="Times New Roman" w:eastAsia="Times New Roman" w:hAnsi="Times New Roman" w:cs="Times New Roman"/>
            <w:color w:val="0000FF" w:themeColor="hyperlink"/>
            <w:sz w:val="24"/>
            <w:szCs w:val="24"/>
            <w:u w:val="single"/>
          </w:rPr>
          <w:t>tarjetas de asociación</w:t>
        </w:r>
      </w:hyperlink>
      <w:r w:rsidRPr="004F20FC">
        <w:rPr>
          <w:rFonts w:ascii="Times New Roman" w:eastAsia="Times New Roman" w:hAnsi="Times New Roman" w:cs="Times New Roman"/>
          <w:sz w:val="24"/>
          <w:szCs w:val="24"/>
        </w:rPr>
        <w:t xml:space="preserve">, </w:t>
      </w:r>
      <w:hyperlink r:id="rId11" w:history="1">
        <w:r w:rsidRPr="004F20FC">
          <w:rPr>
            <w:rFonts w:ascii="Times New Roman" w:eastAsia="Times New Roman" w:hAnsi="Times New Roman" w:cs="Times New Roman"/>
            <w:color w:val="0000FF" w:themeColor="hyperlink"/>
            <w:sz w:val="24"/>
            <w:szCs w:val="24"/>
            <w:u w:val="single"/>
          </w:rPr>
          <w:t>análisis y narrativas</w:t>
        </w:r>
      </w:hyperlink>
      <w:r w:rsidRPr="004F20FC">
        <w:rPr>
          <w:rFonts w:ascii="Times New Roman" w:eastAsia="Times New Roman" w:hAnsi="Times New Roman" w:cs="Times New Roman"/>
          <w:sz w:val="24"/>
          <w:szCs w:val="24"/>
        </w:rPr>
        <w:t xml:space="preserve"> y </w:t>
      </w:r>
      <w:hyperlink r:id="rId12" w:history="1">
        <w:r w:rsidRPr="004F20FC">
          <w:rPr>
            <w:rFonts w:ascii="Times New Roman" w:eastAsia="Times New Roman" w:hAnsi="Times New Roman" w:cs="Times New Roman"/>
            <w:color w:val="0000FF" w:themeColor="hyperlink"/>
            <w:sz w:val="24"/>
            <w:szCs w:val="24"/>
            <w:u w:val="single"/>
          </w:rPr>
          <w:t>freelisting</w:t>
        </w:r>
      </w:hyperlink>
      <w:r w:rsidRPr="004F20FC">
        <w:rPr>
          <w:rFonts w:ascii="Times New Roman" w:eastAsia="Times New Roman" w:hAnsi="Times New Roman" w:cs="Times New Roman"/>
          <w:sz w:val="24"/>
          <w:szCs w:val="24"/>
        </w:rPr>
        <w:t xml:space="preserve">. El desarrollo de estas actividades se hizo de manera presencial y a través de llamadas telefónicas y de video-llamadas por Skype, pues ambos residen actualmente en Yopal, Casanare. El proceso con Marianela y Silvio inicia el 01 de abril y finaliza el 19 de mayo de 2016. Mientras que con Cecilia sólo se aplicó las entrevistas, las cuales fueron realizadas en septiembre del 2015, tras haber compartido dos meses en el </w:t>
      </w:r>
      <w:r w:rsidRPr="004F20FC">
        <w:rPr>
          <w:rFonts w:ascii="Times New Roman" w:eastAsia="Times New Roman" w:hAnsi="Times New Roman" w:cs="Times New Roman"/>
          <w:i/>
          <w:sz w:val="24"/>
          <w:szCs w:val="24"/>
        </w:rPr>
        <w:t xml:space="preserve">Costurero de la memoria. </w:t>
      </w:r>
      <w:r w:rsidRPr="004F20FC">
        <w:rPr>
          <w:rFonts w:ascii="Times New Roman" w:eastAsia="Times New Roman" w:hAnsi="Times New Roman" w:cs="Times New Roman"/>
          <w:sz w:val="24"/>
          <w:szCs w:val="24"/>
        </w:rPr>
        <w:t xml:space="preserve">Las herramientas hasta el momento planteadas son pertinentes en tanto que indagan más que por los hechos sucedidos en la experiencias del conflicto violento, por los significados y explicaciones que estas subjetividades conceden a sus vivencias.  </w:t>
      </w:r>
    </w:p>
    <w:p w:rsidR="004F20FC" w:rsidRPr="004F20FC" w:rsidRDefault="004F20FC" w:rsidP="004F20FC">
      <w:pPr>
        <w:ind w:firstLine="720"/>
        <w:jc w:val="both"/>
        <w:rPr>
          <w:rFonts w:ascii="Times New Roman" w:eastAsia="Times New Roman" w:hAnsi="Times New Roman" w:cs="Times New Roman"/>
          <w:sz w:val="24"/>
          <w:szCs w:val="24"/>
        </w:rPr>
      </w:pPr>
      <w:r w:rsidRPr="004F20FC">
        <w:rPr>
          <w:rFonts w:ascii="Times New Roman" w:eastAsia="Times New Roman" w:hAnsi="Times New Roman" w:cs="Times New Roman"/>
          <w:sz w:val="24"/>
          <w:szCs w:val="24"/>
        </w:rPr>
        <w:t xml:space="preserve">Para la Comunidad de Pogue se empleó el material recolectado en un evento realizado por el Centro de Memoria histórica en el Museo Nacional de Colombia el 03 de abril, la cartilla de </w:t>
      </w:r>
      <w:r w:rsidRPr="004F20FC">
        <w:rPr>
          <w:rFonts w:ascii="Times New Roman" w:eastAsia="Times New Roman" w:hAnsi="Times New Roman" w:cs="Times New Roman"/>
          <w:i/>
          <w:sz w:val="24"/>
          <w:szCs w:val="24"/>
        </w:rPr>
        <w:t>Pogue. Un pueblo, una familita un rio. Historias contadas por la comunidad de Pogue</w:t>
      </w:r>
      <w:r w:rsidRPr="004F20FC">
        <w:rPr>
          <w:rFonts w:ascii="Times New Roman" w:eastAsia="Times New Roman" w:hAnsi="Times New Roman" w:cs="Times New Roman"/>
          <w:i/>
          <w:sz w:val="24"/>
          <w:szCs w:val="24"/>
          <w:vertAlign w:val="superscript"/>
        </w:rPr>
        <w:footnoteReference w:id="1"/>
      </w:r>
      <w:r w:rsidRPr="004F20FC">
        <w:rPr>
          <w:rFonts w:ascii="Times New Roman" w:eastAsia="Times New Roman" w:hAnsi="Times New Roman" w:cs="Times New Roman"/>
          <w:i/>
          <w:sz w:val="24"/>
          <w:szCs w:val="24"/>
        </w:rPr>
        <w:t xml:space="preserve"> </w:t>
      </w:r>
      <w:r w:rsidRPr="004F20FC">
        <w:rPr>
          <w:rFonts w:ascii="Times New Roman" w:eastAsia="Times New Roman" w:hAnsi="Times New Roman" w:cs="Times New Roman"/>
          <w:sz w:val="24"/>
          <w:szCs w:val="24"/>
        </w:rPr>
        <w:t xml:space="preserve">hecha por la misma institución, y en los contenidos divulgados por la página de internet: </w:t>
      </w:r>
      <w:r w:rsidRPr="004F20FC">
        <w:rPr>
          <w:rFonts w:ascii="Times New Roman" w:eastAsia="Times New Roman" w:hAnsi="Times New Roman" w:cs="Times New Roman"/>
          <w:i/>
          <w:sz w:val="24"/>
          <w:szCs w:val="24"/>
        </w:rPr>
        <w:t>Bojayá una década</w:t>
      </w:r>
      <w:r w:rsidRPr="004F20FC">
        <w:rPr>
          <w:rFonts w:ascii="Times New Roman" w:eastAsia="Times New Roman" w:hAnsi="Times New Roman" w:cs="Times New Roman"/>
          <w:sz w:val="24"/>
          <w:szCs w:val="24"/>
        </w:rPr>
        <w:t xml:space="preserve"> (URL:</w:t>
      </w:r>
      <w:r w:rsidRPr="004F20FC">
        <w:rPr>
          <w:rFonts w:ascii="Times New Roman" w:eastAsia="Times New Roman" w:hAnsi="Times New Roman" w:cs="Times New Roman"/>
          <w:i/>
          <w:sz w:val="24"/>
          <w:szCs w:val="24"/>
        </w:rPr>
        <w:t xml:space="preserve"> </w:t>
      </w:r>
      <w:hyperlink r:id="rId13" w:history="1">
        <w:r w:rsidRPr="004F20FC">
          <w:rPr>
            <w:rFonts w:ascii="Times New Roman" w:eastAsia="Times New Roman" w:hAnsi="Times New Roman" w:cs="Times New Roman"/>
            <w:color w:val="0000FF" w:themeColor="hyperlink"/>
            <w:sz w:val="24"/>
            <w:szCs w:val="24"/>
            <w:u w:val="single"/>
          </w:rPr>
          <w:t>https://bojayaunadecada.org/</w:t>
        </w:r>
      </w:hyperlink>
      <w:r w:rsidRPr="004F20FC">
        <w:rPr>
          <w:rFonts w:ascii="Times New Roman" w:eastAsia="Times New Roman" w:hAnsi="Times New Roman" w:cs="Times New Roman"/>
          <w:sz w:val="24"/>
          <w:szCs w:val="24"/>
        </w:rPr>
        <w:t xml:space="preserve">). En consecuencia, el proceso con la Comunidad de Pogue tiene comienzo el mismo día de la conferencia y culmina el 08 de mayo de 2016. </w:t>
      </w:r>
    </w:p>
    <w:p w:rsidR="004F20FC" w:rsidRPr="004F20FC" w:rsidRDefault="004F20FC" w:rsidP="004F20FC">
      <w:pPr>
        <w:tabs>
          <w:tab w:val="left" w:pos="6075"/>
        </w:tabs>
        <w:ind w:firstLine="720"/>
        <w:jc w:val="both"/>
        <w:rPr>
          <w:rFonts w:ascii="Times New Roman" w:eastAsia="Times New Roman" w:hAnsi="Times New Roman" w:cs="Times New Roman"/>
          <w:sz w:val="24"/>
          <w:szCs w:val="24"/>
        </w:rPr>
      </w:pPr>
      <w:r w:rsidRPr="004F20FC">
        <w:rPr>
          <w:rFonts w:ascii="Times New Roman" w:eastAsia="Times New Roman" w:hAnsi="Times New Roman" w:cs="Times New Roman"/>
          <w:sz w:val="24"/>
          <w:szCs w:val="24"/>
        </w:rPr>
        <w:t xml:space="preserve">Finalmente, con respecto a las personas del sondeo las herramientas empleadas fueron entrevistas muy cortas, en las que se preguntó por sus experiencias del conflicto en términos de qué y cómo fueron sus vivencias, aunque de manera muy superficial. Dichas entrevistas tuvieron lugar en diferentes zonas de la ciudad de Bogotá, las cuales se pueden llamar con el nombre de: Fenicia, Chapinero y Museo Nacional. Los actores societales a las que se aplicó, en total 6, eran: estudiantes y profesores universitarios, funcionarios de instituciones estatales tanto distritales (Secretaria de educación distrital de Chapinero) como nacionales (Museo Nacional de Colombia), e independientes de diversas profesiones. El proceso elección se realizó al azar, de ahí que no hubiera ningunos procedimiento de selección rigurosa. Estas entrevistas se hicieron entre el 09 de abril y el 12 de mayo de 2016. </w:t>
      </w:r>
    </w:p>
    <w:p w:rsidR="004F20FC" w:rsidRPr="004F20FC" w:rsidRDefault="004F20FC" w:rsidP="004F20FC">
      <w:pPr>
        <w:tabs>
          <w:tab w:val="left" w:pos="6075"/>
        </w:tabs>
        <w:ind w:firstLine="720"/>
        <w:jc w:val="both"/>
        <w:rPr>
          <w:rFonts w:ascii="Times New Roman" w:eastAsia="Times New Roman" w:hAnsi="Times New Roman" w:cs="Times New Roman"/>
          <w:sz w:val="24"/>
          <w:szCs w:val="24"/>
        </w:rPr>
      </w:pPr>
      <w:r w:rsidRPr="004F20FC">
        <w:rPr>
          <w:rFonts w:ascii="Times New Roman" w:eastAsia="Times New Roman" w:hAnsi="Times New Roman" w:cs="Times New Roman"/>
          <w:sz w:val="24"/>
          <w:szCs w:val="24"/>
        </w:rPr>
        <w:lastRenderedPageBreak/>
        <w:t xml:space="preserve">Es importante aclarar, que lo expuesto en relación a las herramientas de investigación </w:t>
      </w:r>
      <w:r w:rsidRPr="004F20FC">
        <w:rPr>
          <w:rFonts w:ascii="Times New Roman" w:eastAsia="Times New Roman" w:hAnsi="Times New Roman" w:cs="Times New Roman"/>
          <w:sz w:val="24"/>
          <w:szCs w:val="24"/>
        </w:rPr>
        <w:t>representa</w:t>
      </w:r>
      <w:r w:rsidRPr="004F20FC">
        <w:rPr>
          <w:rFonts w:ascii="Times New Roman" w:eastAsia="Times New Roman" w:hAnsi="Times New Roman" w:cs="Times New Roman"/>
          <w:sz w:val="24"/>
          <w:szCs w:val="24"/>
        </w:rPr>
        <w:t xml:space="preserve"> sólo una de las narrativas del conflicto. Pues también, se plantea una narrativa oficial construida por el Estado y sus institucionales, y una narrativa literata desarrollada por la academia. Lo anterior, con el fin de dar a conocer al pro-sumidore</w:t>
      </w:r>
      <w:r>
        <w:rPr>
          <w:rFonts w:ascii="Times New Roman" w:eastAsia="Times New Roman" w:hAnsi="Times New Roman" w:cs="Times New Roman"/>
          <w:sz w:val="24"/>
          <w:szCs w:val="24"/>
        </w:rPr>
        <w:t>s</w:t>
      </w:r>
      <w:bookmarkStart w:id="0" w:name="_GoBack"/>
      <w:bookmarkEnd w:id="0"/>
      <w:r w:rsidRPr="004F20FC">
        <w:rPr>
          <w:rFonts w:ascii="Times New Roman" w:eastAsia="Times New Roman" w:hAnsi="Times New Roman" w:cs="Times New Roman"/>
          <w:sz w:val="24"/>
          <w:szCs w:val="24"/>
          <w:vertAlign w:val="superscript"/>
        </w:rPr>
        <w:footnoteReference w:id="2"/>
      </w:r>
      <w:r w:rsidRPr="004F20FC">
        <w:rPr>
          <w:rFonts w:ascii="Times New Roman" w:eastAsia="Times New Roman" w:hAnsi="Times New Roman" w:cs="Times New Roman"/>
          <w:sz w:val="24"/>
          <w:szCs w:val="24"/>
        </w:rPr>
        <w:t xml:space="preserve"> los diferentes relatos y experiencias vividas en el conflicto. No para elegir el relato más </w:t>
      </w:r>
      <w:r w:rsidRPr="004F20FC">
        <w:rPr>
          <w:rFonts w:ascii="Times New Roman" w:eastAsia="Times New Roman" w:hAnsi="Times New Roman" w:cs="Times New Roman"/>
          <w:i/>
          <w:sz w:val="24"/>
          <w:szCs w:val="24"/>
        </w:rPr>
        <w:t xml:space="preserve">verdadero </w:t>
      </w:r>
      <w:r w:rsidRPr="004F20FC">
        <w:rPr>
          <w:rFonts w:ascii="Times New Roman" w:eastAsia="Times New Roman" w:hAnsi="Times New Roman" w:cs="Times New Roman"/>
          <w:sz w:val="24"/>
          <w:szCs w:val="24"/>
        </w:rPr>
        <w:t xml:space="preserve">o </w:t>
      </w:r>
      <w:r w:rsidRPr="004F20FC">
        <w:rPr>
          <w:rFonts w:ascii="Times New Roman" w:eastAsia="Times New Roman" w:hAnsi="Times New Roman" w:cs="Times New Roman"/>
          <w:i/>
          <w:sz w:val="24"/>
          <w:szCs w:val="24"/>
        </w:rPr>
        <w:t xml:space="preserve">legítimo </w:t>
      </w:r>
      <w:r w:rsidRPr="004F20FC">
        <w:rPr>
          <w:rFonts w:ascii="Times New Roman" w:eastAsia="Times New Roman" w:hAnsi="Times New Roman" w:cs="Times New Roman"/>
          <w:sz w:val="24"/>
          <w:szCs w:val="24"/>
        </w:rPr>
        <w:t xml:space="preserve">de ser abarcarte y unificador, sino para exponer la riqueza de las narrativas e identificar aquello que se visibiliza y aquello que se deja de visibilizar. </w:t>
      </w:r>
    </w:p>
    <w:p w:rsidR="004F20FC" w:rsidRDefault="004F20FC" w:rsidP="004F20FC">
      <w:pPr>
        <w:rPr>
          <w:rFonts w:ascii="Times New Roman" w:eastAsia="Times New Roman" w:hAnsi="Times New Roman" w:cs="Times New Roman"/>
          <w:sz w:val="24"/>
          <w:szCs w:val="24"/>
        </w:rPr>
      </w:pPr>
    </w:p>
    <w:p w:rsidR="004F20FC" w:rsidRDefault="004F20FC" w:rsidP="004F20FC"/>
    <w:sectPr w:rsidR="004F20FC">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D3D" w:rsidRDefault="00024D3D" w:rsidP="004F20FC">
      <w:pPr>
        <w:spacing w:after="0" w:line="240" w:lineRule="auto"/>
      </w:pPr>
      <w:r>
        <w:separator/>
      </w:r>
    </w:p>
  </w:endnote>
  <w:endnote w:type="continuationSeparator" w:id="0">
    <w:p w:rsidR="00024D3D" w:rsidRDefault="00024D3D" w:rsidP="004F2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956410"/>
      <w:docPartObj>
        <w:docPartGallery w:val="Page Numbers (Bottom of Page)"/>
        <w:docPartUnique/>
      </w:docPartObj>
    </w:sdtPr>
    <w:sdtEndPr>
      <w:rPr>
        <w:rFonts w:ascii="Arial Narrow" w:hAnsi="Arial Narrow"/>
        <w:b/>
        <w:sz w:val="18"/>
      </w:rPr>
    </w:sdtEndPr>
    <w:sdtContent>
      <w:p w:rsidR="004F20FC" w:rsidRPr="004F20FC" w:rsidRDefault="004F20FC">
        <w:pPr>
          <w:pStyle w:val="Piedepgina"/>
          <w:jc w:val="right"/>
          <w:rPr>
            <w:rFonts w:ascii="Arial Narrow" w:hAnsi="Arial Narrow"/>
            <w:b/>
            <w:sz w:val="14"/>
          </w:rPr>
        </w:pPr>
        <w:r w:rsidRPr="004F20FC">
          <w:rPr>
            <w:rFonts w:ascii="Arial Narrow" w:hAnsi="Arial Narrow"/>
            <w:b/>
            <w:sz w:val="18"/>
          </w:rPr>
          <w:fldChar w:fldCharType="begin"/>
        </w:r>
        <w:r w:rsidRPr="004F20FC">
          <w:rPr>
            <w:rFonts w:ascii="Arial Narrow" w:hAnsi="Arial Narrow"/>
            <w:b/>
            <w:sz w:val="18"/>
          </w:rPr>
          <w:instrText>PAGE   \* MERGEFORMAT</w:instrText>
        </w:r>
        <w:r w:rsidRPr="004F20FC">
          <w:rPr>
            <w:rFonts w:ascii="Arial Narrow" w:hAnsi="Arial Narrow"/>
            <w:b/>
            <w:sz w:val="18"/>
          </w:rPr>
          <w:fldChar w:fldCharType="separate"/>
        </w:r>
        <w:r w:rsidRPr="004F20FC">
          <w:rPr>
            <w:rFonts w:ascii="Arial Narrow" w:hAnsi="Arial Narrow"/>
            <w:b/>
            <w:noProof/>
            <w:sz w:val="18"/>
            <w:lang w:val="es-ES"/>
          </w:rPr>
          <w:t>1</w:t>
        </w:r>
        <w:r w:rsidRPr="004F20FC">
          <w:rPr>
            <w:rFonts w:ascii="Arial Narrow" w:hAnsi="Arial Narrow"/>
            <w:b/>
            <w:sz w:val="18"/>
          </w:rPr>
          <w:fldChar w:fldCharType="end"/>
        </w:r>
      </w:p>
    </w:sdtContent>
  </w:sdt>
  <w:p w:rsidR="004F20FC" w:rsidRDefault="004F2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D3D" w:rsidRDefault="00024D3D" w:rsidP="004F20FC">
      <w:pPr>
        <w:spacing w:after="0" w:line="240" w:lineRule="auto"/>
      </w:pPr>
      <w:r>
        <w:separator/>
      </w:r>
    </w:p>
  </w:footnote>
  <w:footnote w:type="continuationSeparator" w:id="0">
    <w:p w:rsidR="00024D3D" w:rsidRDefault="00024D3D" w:rsidP="004F20FC">
      <w:pPr>
        <w:spacing w:after="0" w:line="240" w:lineRule="auto"/>
      </w:pPr>
      <w:r>
        <w:continuationSeparator/>
      </w:r>
    </w:p>
  </w:footnote>
  <w:footnote w:id="1">
    <w:p w:rsidR="004F20FC" w:rsidRDefault="004F20FC" w:rsidP="004F20FC">
      <w:pPr>
        <w:pStyle w:val="Textonotapie"/>
        <w:jc w:val="both"/>
      </w:pPr>
      <w:r>
        <w:rPr>
          <w:rStyle w:val="Refdenotaalpie"/>
        </w:rPr>
        <w:footnoteRef/>
      </w:r>
      <w:r>
        <w:t xml:space="preserve">La dirección electrónica donde se puede encontrar la información es: </w:t>
      </w:r>
      <w:hyperlink r:id="rId1" w:history="1">
        <w:r w:rsidRPr="00570A1C">
          <w:rPr>
            <w:rStyle w:val="Hipervnculo"/>
          </w:rPr>
          <w:t>http://www.centrodememoriahistorica.gov.co/noticias/noticiascmh/download/332_3abaea65189d5c540cc0f21e07472d70</w:t>
        </w:r>
      </w:hyperlink>
    </w:p>
  </w:footnote>
  <w:footnote w:id="2">
    <w:p w:rsidR="004F20FC" w:rsidRDefault="004F20FC" w:rsidP="004F20FC">
      <w:pPr>
        <w:pStyle w:val="Textonotapie"/>
        <w:jc w:val="both"/>
      </w:pPr>
      <w:r>
        <w:rPr>
          <w:rStyle w:val="Refdenotaalpie"/>
        </w:rPr>
        <w:footnoteRef/>
      </w:r>
      <w:r>
        <w:t xml:space="preserve">Por </w:t>
      </w:r>
      <w:r w:rsidRPr="00F763CD">
        <w:t xml:space="preserve">pro-sumidores </w:t>
      </w:r>
      <w:r>
        <w:t xml:space="preserve">se alude a lo que Alvin Toffler (2010) llama </w:t>
      </w:r>
      <w:r w:rsidRPr="00F763CD">
        <w:t>"personas que consumen lo que ellos mismos producen"</w:t>
      </w:r>
      <w:r>
        <w:t xml:space="preserve">, es decir los lectores, la audiencia o el público.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0FC"/>
    <w:rsid w:val="000064FF"/>
    <w:rsid w:val="00024D3D"/>
    <w:rsid w:val="004F20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20FC"/>
    <w:rPr>
      <w:rFonts w:ascii="Calibri" w:eastAsia="Calibri" w:hAnsi="Calibri" w:cs="Calibri"/>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4F20FC"/>
    <w:pPr>
      <w:spacing w:after="0" w:line="240" w:lineRule="auto"/>
    </w:pPr>
    <w:rPr>
      <w:sz w:val="20"/>
      <w:szCs w:val="20"/>
    </w:rPr>
  </w:style>
  <w:style w:type="character" w:customStyle="1" w:styleId="TextonotapieCar">
    <w:name w:val="Texto nota pie Car"/>
    <w:basedOn w:val="Fuentedeprrafopredeter"/>
    <w:link w:val="Textonotapie"/>
    <w:uiPriority w:val="99"/>
    <w:rsid w:val="004F20FC"/>
    <w:rPr>
      <w:rFonts w:ascii="Calibri" w:eastAsia="Calibri" w:hAnsi="Calibri" w:cs="Calibri"/>
      <w:color w:val="000000"/>
      <w:sz w:val="20"/>
      <w:szCs w:val="20"/>
      <w:lang w:eastAsia="es-CO"/>
    </w:rPr>
  </w:style>
  <w:style w:type="character" w:styleId="Refdenotaalpie">
    <w:name w:val="footnote reference"/>
    <w:basedOn w:val="Fuentedeprrafopredeter"/>
    <w:uiPriority w:val="99"/>
    <w:semiHidden/>
    <w:unhideWhenUsed/>
    <w:rsid w:val="004F20FC"/>
    <w:rPr>
      <w:vertAlign w:val="superscript"/>
    </w:rPr>
  </w:style>
  <w:style w:type="character" w:styleId="Hipervnculo">
    <w:name w:val="Hyperlink"/>
    <w:basedOn w:val="Fuentedeprrafopredeter"/>
    <w:uiPriority w:val="99"/>
    <w:unhideWhenUsed/>
    <w:rsid w:val="004F20FC"/>
    <w:rPr>
      <w:color w:val="0000FF" w:themeColor="hyperlink"/>
      <w:u w:val="single"/>
    </w:rPr>
  </w:style>
  <w:style w:type="paragraph" w:styleId="Encabezado">
    <w:name w:val="header"/>
    <w:basedOn w:val="Normal"/>
    <w:link w:val="EncabezadoCar"/>
    <w:uiPriority w:val="99"/>
    <w:unhideWhenUsed/>
    <w:rsid w:val="004F20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20FC"/>
    <w:rPr>
      <w:rFonts w:ascii="Calibri" w:eastAsia="Calibri" w:hAnsi="Calibri" w:cs="Calibri"/>
      <w:color w:val="000000"/>
      <w:lang w:eastAsia="es-CO"/>
    </w:rPr>
  </w:style>
  <w:style w:type="paragraph" w:styleId="Piedepgina">
    <w:name w:val="footer"/>
    <w:basedOn w:val="Normal"/>
    <w:link w:val="PiedepginaCar"/>
    <w:uiPriority w:val="99"/>
    <w:unhideWhenUsed/>
    <w:rsid w:val="004F20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20FC"/>
    <w:rPr>
      <w:rFonts w:ascii="Calibri" w:eastAsia="Calibri" w:hAnsi="Calibri" w:cs="Calibri"/>
      <w:color w:val="000000"/>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20FC"/>
    <w:rPr>
      <w:rFonts w:ascii="Calibri" w:eastAsia="Calibri" w:hAnsi="Calibri" w:cs="Calibri"/>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4F20FC"/>
    <w:pPr>
      <w:spacing w:after="0" w:line="240" w:lineRule="auto"/>
    </w:pPr>
    <w:rPr>
      <w:sz w:val="20"/>
      <w:szCs w:val="20"/>
    </w:rPr>
  </w:style>
  <w:style w:type="character" w:customStyle="1" w:styleId="TextonotapieCar">
    <w:name w:val="Texto nota pie Car"/>
    <w:basedOn w:val="Fuentedeprrafopredeter"/>
    <w:link w:val="Textonotapie"/>
    <w:uiPriority w:val="99"/>
    <w:rsid w:val="004F20FC"/>
    <w:rPr>
      <w:rFonts w:ascii="Calibri" w:eastAsia="Calibri" w:hAnsi="Calibri" w:cs="Calibri"/>
      <w:color w:val="000000"/>
      <w:sz w:val="20"/>
      <w:szCs w:val="20"/>
      <w:lang w:eastAsia="es-CO"/>
    </w:rPr>
  </w:style>
  <w:style w:type="character" w:styleId="Refdenotaalpie">
    <w:name w:val="footnote reference"/>
    <w:basedOn w:val="Fuentedeprrafopredeter"/>
    <w:uiPriority w:val="99"/>
    <w:semiHidden/>
    <w:unhideWhenUsed/>
    <w:rsid w:val="004F20FC"/>
    <w:rPr>
      <w:vertAlign w:val="superscript"/>
    </w:rPr>
  </w:style>
  <w:style w:type="character" w:styleId="Hipervnculo">
    <w:name w:val="Hyperlink"/>
    <w:basedOn w:val="Fuentedeprrafopredeter"/>
    <w:uiPriority w:val="99"/>
    <w:unhideWhenUsed/>
    <w:rsid w:val="004F20FC"/>
    <w:rPr>
      <w:color w:val="0000FF" w:themeColor="hyperlink"/>
      <w:u w:val="single"/>
    </w:rPr>
  </w:style>
  <w:style w:type="paragraph" w:styleId="Encabezado">
    <w:name w:val="header"/>
    <w:basedOn w:val="Normal"/>
    <w:link w:val="EncabezadoCar"/>
    <w:uiPriority w:val="99"/>
    <w:unhideWhenUsed/>
    <w:rsid w:val="004F20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20FC"/>
    <w:rPr>
      <w:rFonts w:ascii="Calibri" w:eastAsia="Calibri" w:hAnsi="Calibri" w:cs="Calibri"/>
      <w:color w:val="000000"/>
      <w:lang w:eastAsia="es-CO"/>
    </w:rPr>
  </w:style>
  <w:style w:type="paragraph" w:styleId="Piedepgina">
    <w:name w:val="footer"/>
    <w:basedOn w:val="Normal"/>
    <w:link w:val="PiedepginaCar"/>
    <w:uiPriority w:val="99"/>
    <w:unhideWhenUsed/>
    <w:rsid w:val="004F20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20FC"/>
    <w:rPr>
      <w:rFonts w:ascii="Calibri" w:eastAsia="Calibri" w:hAnsi="Calibri" w:cs="Calibri"/>
      <w:color w:val="00000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P&#193;GINA%20WEB/DOCUMENTOS/M&#201;TODOLOGIA/Fotograf&#237;as.docx" TargetMode="External"/><Relationship Id="rId13" Type="http://schemas.openxmlformats.org/officeDocument/2006/relationships/hyperlink" Target="https://bojayaunadecada.org/" TargetMode="External"/><Relationship Id="rId3" Type="http://schemas.openxmlformats.org/officeDocument/2006/relationships/settings" Target="settings.xml"/><Relationship Id="rId7" Type="http://schemas.openxmlformats.org/officeDocument/2006/relationships/hyperlink" Target="../../P&#193;GINA%20WEB/DOCUMENTOS/M&#201;TODOLOGIA/Entrevistas.docx" TargetMode="External"/><Relationship Id="rId12" Type="http://schemas.openxmlformats.org/officeDocument/2006/relationships/hyperlink" Target="../../P&#193;GINA%20WEB/DOCUMENTOS/M&#201;TODOLOGIA/Freelisting.docx"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P&#193;GINA%20WEB/DOCUMENTOS/M&#201;TODOLOGIA/An&#225;lisis%20y%20narrativas.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P&#193;GINA%20WEB/DOCUMENTOS/M&#201;TODOLOGIA/Tarjetas%20de%20asociaci&#243;n.docx" TargetMode="External"/><Relationship Id="rId4" Type="http://schemas.openxmlformats.org/officeDocument/2006/relationships/webSettings" Target="webSettings.xml"/><Relationship Id="rId9" Type="http://schemas.openxmlformats.org/officeDocument/2006/relationships/hyperlink" Target="../../P&#193;GINA%20WEB/DOCUMENTOS/M&#201;TODOLOGIA/Sondas%20generativas.docx"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entrodememoriahistorica.gov.co/noticias/noticiascmh/download/332_3abaea65189d5c540cc0f21e07472d7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3212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2016-05-09T21:46:00Z</dcterms:created>
  <dcterms:modified xsi:type="dcterms:W3CDTF">2016-05-09T21:47:00Z</dcterms:modified>
</cp:coreProperties>
</file>